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黑体"/>
          <w:sz w:val="30"/>
          <w:szCs w:val="30"/>
        </w:rPr>
      </w:pPr>
      <w:r>
        <w:rPr>
          <w:rFonts w:hint="eastAsia" w:ascii="黑体" w:hAnsi="宋体" w:eastAsia="黑体"/>
          <w:sz w:val="32"/>
          <w:szCs w:val="32"/>
        </w:rPr>
        <w:t>附件2</w:t>
      </w:r>
    </w:p>
    <w:p>
      <w:pPr>
        <w:jc w:val="center"/>
        <w:rPr>
          <w:rFonts w:hint="eastAsia" w:ascii="黑体" w:hAnsi="ˎ̥" w:eastAsia="黑体"/>
          <w:sz w:val="44"/>
          <w:szCs w:val="44"/>
        </w:rPr>
      </w:pPr>
      <w:r>
        <w:rPr>
          <w:rFonts w:hint="eastAsia" w:ascii="黑体" w:hAnsi="ˎ̥" w:eastAsia="黑体"/>
          <w:sz w:val="44"/>
          <w:szCs w:val="44"/>
        </w:rPr>
        <w:t>海口市社会治安综合治理中心</w:t>
      </w:r>
    </w:p>
    <w:p>
      <w:pPr>
        <w:jc w:val="center"/>
        <w:rPr>
          <w:rFonts w:hint="eastAsia" w:ascii="黑体" w:hAnsi="ˎ̥" w:eastAsia="黑体"/>
          <w:sz w:val="44"/>
          <w:szCs w:val="44"/>
        </w:rPr>
      </w:pPr>
      <w:r>
        <w:rPr>
          <w:rFonts w:hint="eastAsia" w:ascii="黑体" w:hAnsi="ˎ̥" w:eastAsia="黑体"/>
          <w:sz w:val="44"/>
          <w:szCs w:val="44"/>
        </w:rPr>
        <w:t>2021年度单位决算公开文字说明</w:t>
      </w:r>
    </w:p>
    <w:p>
      <w:pPr>
        <w:jc w:val="center"/>
        <w:rPr>
          <w:rFonts w:hint="eastAsia" w:ascii="黑体" w:hAnsi="ˎ̥" w:eastAsia="黑体"/>
          <w:b/>
          <w:sz w:val="32"/>
          <w:szCs w:val="32"/>
        </w:rPr>
      </w:pPr>
    </w:p>
    <w:p>
      <w:pPr>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10"/>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海口市社会治安综合治理中心单位概况</w:t>
      </w:r>
      <w:r>
        <w:rPr>
          <w:sz w:val="32"/>
          <w:szCs w:val="32"/>
        </w:rPr>
        <w:tab/>
      </w:r>
      <w:r>
        <w:rPr>
          <w:rFonts w:hint="eastAsia"/>
          <w:sz w:val="32"/>
          <w:szCs w:val="32"/>
        </w:rPr>
        <w:t>3</w:t>
      </w:r>
      <w:r>
        <w:rPr>
          <w:rFonts w:hint="eastAsia"/>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0"/>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海口市社会治安综合治理中心2021年度单位决算公开表</w:t>
      </w:r>
      <w:r>
        <w:rPr>
          <w:sz w:val="32"/>
          <w:szCs w:val="32"/>
        </w:rPr>
        <w:tab/>
      </w:r>
      <w:r>
        <w:rPr>
          <w:rFonts w:hint="eastAsia"/>
          <w:sz w:val="32"/>
          <w:szCs w:val="32"/>
        </w:rPr>
        <w:t>4</w:t>
      </w:r>
      <w:r>
        <w:rPr>
          <w:rFonts w:hint="eastAsia"/>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4</w:t>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0"/>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海口市社会治安综合治理中心2021年度单位决算情况说明</w:t>
      </w:r>
      <w:r>
        <w:rPr>
          <w:sz w:val="32"/>
          <w:szCs w:val="32"/>
        </w:rPr>
        <w:tab/>
      </w:r>
      <w:r>
        <w:rPr>
          <w:rFonts w:hint="eastAsia"/>
          <w:sz w:val="32"/>
          <w:szCs w:val="32"/>
        </w:rPr>
        <w:t>5</w:t>
      </w:r>
      <w:r>
        <w:rPr>
          <w:rFonts w:hint="eastAsia"/>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11"/>
        <w:tabs>
          <w:tab w:val="right" w:leader="dot" w:pos="8306"/>
        </w:tabs>
        <w:ind w:leftChars="0"/>
        <w:rPr>
          <w:rFonts w:hint="eastAsia"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7</w:t>
      </w:r>
      <w:r>
        <w:rPr>
          <w:rFonts w:hint="eastAsia" w:ascii="仿宋" w:hAnsi="仿宋" w:eastAsia="仿宋" w:cs="仿宋"/>
          <w:sz w:val="32"/>
          <w:szCs w:val="32"/>
        </w:rPr>
        <w:fldChar w:fldCharType="end"/>
      </w:r>
    </w:p>
    <w:p>
      <w:pPr>
        <w:pStyle w:val="11"/>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9</w:t>
      </w:r>
    </w:p>
    <w:p>
      <w:pPr>
        <w:pStyle w:val="11"/>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政府性基金预算财政拨款支出决算情况说明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10</w:t>
      </w:r>
    </w:p>
    <w:p>
      <w:pPr>
        <w:pStyle w:val="11"/>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国有资本经营预算财政拨款支出决算情况说明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11</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11"/>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12</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11"/>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13</w:t>
      </w:r>
    </w:p>
    <w:p>
      <w:pPr>
        <w:rPr>
          <w:rFonts w:hint="eastAsia"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11"/>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14</w:t>
      </w:r>
    </w:p>
    <w:p>
      <w:pPr>
        <w:pStyle w:val="11"/>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14</w:t>
      </w:r>
    </w:p>
    <w:p>
      <w:pPr>
        <w:pStyle w:val="11"/>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15</w:t>
      </w:r>
    </w:p>
    <w:p>
      <w:pPr>
        <w:pStyle w:val="10"/>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sz w:val="32"/>
          <w:szCs w:val="32"/>
        </w:rPr>
        <w:fldChar w:fldCharType="end"/>
      </w:r>
      <w:bookmarkEnd w:id="0"/>
      <w:r>
        <w:rPr>
          <w:rFonts w:hint="eastAsia"/>
          <w:sz w:val="32"/>
          <w:szCs w:val="32"/>
        </w:rPr>
        <w:t>7</w:t>
      </w:r>
    </w:p>
    <w:p>
      <w:pPr>
        <w:jc w:val="left"/>
        <w:rPr>
          <w:rFonts w:hint="eastAsia" w:ascii="黑体" w:hAnsi="黑体" w:eastAsia="黑体" w:cs="黑体"/>
          <w:sz w:val="32"/>
          <w:szCs w:val="32"/>
        </w:rPr>
      </w:pPr>
    </w:p>
    <w:p>
      <w:pPr>
        <w:jc w:val="center"/>
        <w:rPr>
          <w:rFonts w:hint="eastAsia" w:ascii="黑体" w:hAnsi="ˎ̥" w:eastAsia="黑体"/>
          <w:b/>
          <w:sz w:val="32"/>
          <w:szCs w:val="32"/>
        </w:rPr>
      </w:pPr>
    </w:p>
    <w:p>
      <w:pPr>
        <w:jc w:val="center"/>
        <w:rPr>
          <w:rFonts w:hint="eastAsia" w:ascii="黑体" w:hAnsi="ˎ̥" w:eastAsia="黑体"/>
          <w:sz w:val="32"/>
          <w:szCs w:val="32"/>
        </w:rPr>
      </w:pPr>
      <w:bookmarkStart w:id="2" w:name="_Toc22941_WPSOffice_Level1"/>
      <w:bookmarkStart w:id="3" w:name="_Toc23465_WPSOffice_Level1"/>
      <w:bookmarkStart w:id="4" w:name="_Toc10049_WPSOffice_Level1"/>
      <w:bookmarkStart w:id="5" w:name="_Toc32433_WPSOffice_Level1"/>
      <w:bookmarkStart w:id="6" w:name="_Toc1704_WPSOffice_Level1"/>
      <w:bookmarkStart w:id="7" w:name="_Toc10720_WPSOffice_Level1"/>
      <w:bookmarkStart w:id="8" w:name="_Toc24238_WPSOffice_Level2"/>
      <w:bookmarkStart w:id="9" w:name="_Toc20274_WPSOffice_Level2"/>
      <w:bookmarkStart w:id="10" w:name="_Toc26580_WPSOffice_Level2"/>
      <w:bookmarkStart w:id="11" w:name="_Toc14159_WPSOffice_Level2"/>
      <w:bookmarkStart w:id="12" w:name="_Toc32622_WPSOffice_Level2"/>
      <w:bookmarkStart w:id="13" w:name="_Toc20205_WPSOffice_Level2"/>
      <w:r>
        <w:rPr>
          <w:rFonts w:hint="eastAsia" w:ascii="黑体" w:hAnsi="ˎ̥" w:eastAsia="黑体"/>
          <w:sz w:val="32"/>
          <w:szCs w:val="32"/>
        </w:rPr>
        <w:t>第一部分  海口市社会治安综合治理中心单位概况</w:t>
      </w:r>
      <w:bookmarkEnd w:id="2"/>
      <w:bookmarkEnd w:id="3"/>
      <w:bookmarkEnd w:id="4"/>
      <w:bookmarkEnd w:id="5"/>
      <w:bookmarkEnd w:id="6"/>
      <w:bookmarkEnd w:id="7"/>
    </w:p>
    <w:p>
      <w:pPr>
        <w:ind w:firstLine="640" w:firstLineChars="200"/>
        <w:rPr>
          <w:rFonts w:hint="eastAsia" w:ascii="楷体" w:hAnsi="楷体" w:eastAsia="楷体" w:cs="楷体"/>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w:t>
      </w:r>
      <w:bookmarkEnd w:id="8"/>
      <w:r>
        <w:rPr>
          <w:rFonts w:hint="eastAsia" w:ascii="黑体" w:hAnsi="黑体" w:eastAsia="黑体" w:cs="黑体"/>
          <w:sz w:val="32"/>
          <w:szCs w:val="32"/>
        </w:rPr>
        <w:t>单位职责</w:t>
      </w:r>
      <w:bookmarkEnd w:id="9"/>
      <w:bookmarkEnd w:id="10"/>
      <w:bookmarkEnd w:id="11"/>
      <w:bookmarkEnd w:id="12"/>
      <w:bookmarkEnd w:id="13"/>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1、贯彻落实社会治安综合治理有关法律法规政策，加强调查研究，并提出政策建议。</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2、协助推动全市社会治安防控体系建设。</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3、协助开展矛盾纠纷多元化解和跨区域矛盾纠纷调解工作。</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4、协助推动综治中心、雪亮工程、网格化服务管理“三位一体”新机制建设，配合做好全市有关社会治安综合治理工作的求助、投诉联动受理、处理、督办、反馈等工作。</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5、协助开展全市综治信息化建设联网应用，实现社会治安工作的实时监控、分析研判、动态监测、协调处置等功能。</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6、协助做好全市社会治安综合治理工作督导、检查和开展综治（平安建设）考核评价工作。</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7、掌握全市社会治安综合治理工作进展情况，协助开展社会治安形势整体研判和动态监测，并提出工作建议。</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8、协助开展法治宣传教育，形成守法光荣的良好氛围。</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9、协助做好社会心理服务体系建设，协同开展心理辅导、心理危机干预等工作。</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10、协助驻军部队参与平安创建，协助做好涉军维权、军地互涉案件查办等工作。</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11、完成上级部门交办的其他工作。</w:t>
      </w:r>
    </w:p>
    <w:p>
      <w:pPr>
        <w:ind w:firstLine="640" w:firstLineChars="200"/>
        <w:rPr>
          <w:rFonts w:hint="eastAsia" w:ascii="黑体" w:hAnsi="黑体" w:eastAsia="黑体" w:cs="黑体"/>
          <w:sz w:val="32"/>
          <w:szCs w:val="32"/>
        </w:rPr>
      </w:pPr>
      <w:bookmarkStart w:id="14" w:name="_Toc24474_WPSOffice_Level2"/>
      <w:bookmarkStart w:id="15" w:name="_Toc24059_WPSOffice_Level2"/>
      <w:bookmarkStart w:id="16" w:name="_Toc17796_WPSOffice_Level2"/>
      <w:bookmarkStart w:id="17" w:name="_Toc4833_WPSOffice_Level2"/>
      <w:bookmarkStart w:id="18" w:name="_Toc6572_WPSOffice_Level2"/>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纳入海口市社会治安综合治理中心2021年度单位决算编制范围的二级预算单位包括：</w:t>
      </w:r>
    </w:p>
    <w:p>
      <w:pPr>
        <w:ind w:firstLine="640" w:firstLineChars="200"/>
        <w:rPr>
          <w:rFonts w:hint="eastAsia" w:ascii="楷体" w:hAnsi="楷体" w:eastAsia="楷体" w:cs="楷体"/>
          <w:sz w:val="32"/>
          <w:szCs w:val="32"/>
        </w:rPr>
      </w:pPr>
      <w:bookmarkStart w:id="19" w:name="_Toc24421_WPSOffice_Level2"/>
      <w:bookmarkStart w:id="20" w:name="_Toc25738_WPSOffice_Level2"/>
      <w:r>
        <w:rPr>
          <w:rFonts w:hint="eastAsia" w:ascii="楷体" w:hAnsi="楷体" w:eastAsia="楷体" w:cs="楷体"/>
          <w:sz w:val="32"/>
          <w:szCs w:val="32"/>
        </w:rPr>
        <w:t>（一）海口市社会治安综合治理中心本级</w:t>
      </w:r>
      <w:bookmarkEnd w:id="19"/>
      <w:bookmarkEnd w:id="20"/>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内设有综合科和基层指导科</w:t>
      </w:r>
      <w:r>
        <w:rPr>
          <w:rFonts w:hint="eastAsia" w:ascii="仿宋_GB2312" w:hAnsi="ˎ̥" w:eastAsia="仿宋_GB2312"/>
          <w:sz w:val="32"/>
          <w:szCs w:val="32"/>
        </w:rPr>
        <w:t>。</w:t>
      </w:r>
    </w:p>
    <w:p>
      <w:pPr>
        <w:jc w:val="center"/>
        <w:rPr>
          <w:rFonts w:hint="eastAsia" w:ascii="黑体" w:hAnsi="ˎ̥" w:eastAsia="黑体"/>
          <w:sz w:val="32"/>
          <w:szCs w:val="32"/>
        </w:rPr>
      </w:pPr>
      <w:bookmarkStart w:id="21" w:name="_Toc6234_WPSOffice_Level1"/>
      <w:bookmarkStart w:id="22" w:name="_Toc8164_WPSOffice_Level1"/>
      <w:bookmarkStart w:id="23" w:name="_Toc30451_WPSOffice_Level1"/>
      <w:bookmarkStart w:id="24" w:name="_Toc15521_WPSOffice_Level1"/>
      <w:bookmarkStart w:id="25" w:name="_Toc30690_WPSOffice_Level1"/>
      <w:bookmarkStart w:id="26" w:name="_Toc28253_WPSOffice_Level1"/>
      <w:bookmarkStart w:id="27" w:name="_Toc8867_WPSOffice_Level2"/>
      <w:bookmarkStart w:id="28" w:name="_Toc6211_WPSOffice_Level2"/>
      <w:bookmarkStart w:id="29" w:name="_Toc32695_WPSOffice_Level2"/>
      <w:bookmarkStart w:id="30" w:name="_Toc11518_WPSOffice_Level2"/>
      <w:bookmarkStart w:id="31" w:name="_Toc4029_WPSOffice_Level2"/>
      <w:bookmarkStart w:id="32" w:name="_Toc32472_WPSOffice_Level2"/>
      <w:r>
        <w:rPr>
          <w:rFonts w:hint="eastAsia" w:ascii="黑体" w:hAnsi="ˎ̥" w:eastAsia="黑体"/>
          <w:sz w:val="32"/>
          <w:szCs w:val="32"/>
        </w:rPr>
        <w:t>第二部分  海口市社会治安综合治理中心2021年度单位决算公开报表</w:t>
      </w:r>
      <w:bookmarkEnd w:id="21"/>
      <w:bookmarkEnd w:id="22"/>
      <w:bookmarkEnd w:id="23"/>
      <w:bookmarkEnd w:id="24"/>
      <w:bookmarkEnd w:id="25"/>
      <w:bookmarkEnd w:id="26"/>
    </w:p>
    <w:p>
      <w:pPr>
        <w:ind w:firstLine="645"/>
        <w:rPr>
          <w:rFonts w:hint="eastAsia" w:ascii="黑体" w:hAnsi="黑体" w:eastAsia="黑体" w:cs="黑体"/>
          <w:sz w:val="32"/>
          <w:szCs w:val="32"/>
        </w:rPr>
      </w:pPr>
      <w:r>
        <w:rPr>
          <w:rFonts w:hint="eastAsia" w:ascii="黑体" w:hAnsi="黑体" w:eastAsia="黑体" w:cs="黑体"/>
          <w:sz w:val="32"/>
          <w:szCs w:val="32"/>
        </w:rPr>
        <w:t>一、收入支出决算公开表（见正文附件）</w:t>
      </w:r>
      <w:bookmarkEnd w:id="27"/>
      <w:bookmarkEnd w:id="28"/>
      <w:bookmarkEnd w:id="29"/>
      <w:r>
        <w:rPr>
          <w:rFonts w:hint="eastAsia" w:ascii="黑体" w:hAnsi="黑体" w:eastAsia="黑体" w:cs="黑体"/>
          <w:sz w:val="32"/>
          <w:szCs w:val="32"/>
        </w:rPr>
        <w:t>。</w:t>
      </w:r>
      <w:bookmarkEnd w:id="30"/>
      <w:bookmarkEnd w:id="31"/>
      <w:bookmarkEnd w:id="32"/>
    </w:p>
    <w:p>
      <w:pPr>
        <w:ind w:firstLine="645"/>
        <w:rPr>
          <w:rFonts w:hint="eastAsia" w:ascii="黑体" w:hAnsi="黑体" w:eastAsia="黑体" w:cs="黑体"/>
          <w:sz w:val="32"/>
          <w:szCs w:val="32"/>
        </w:rPr>
      </w:pPr>
      <w:bookmarkStart w:id="33" w:name="_Toc25608_WPSOffice_Level2"/>
      <w:bookmarkStart w:id="34" w:name="_Toc23139_WPSOffice_Level2"/>
      <w:bookmarkStart w:id="35" w:name="_Toc26621_WPSOffice_Level2"/>
      <w:bookmarkStart w:id="36" w:name="_Toc28622_WPSOffice_Level2"/>
      <w:bookmarkStart w:id="37" w:name="_Toc14349_WPSOffice_Level2"/>
      <w:bookmarkStart w:id="38" w:name="_Toc30334_WPSOffice_Level2"/>
      <w:r>
        <w:rPr>
          <w:rFonts w:hint="eastAsia" w:ascii="黑体" w:hAnsi="黑体" w:eastAsia="黑体" w:cs="黑体"/>
          <w:sz w:val="32"/>
          <w:szCs w:val="32"/>
        </w:rPr>
        <w:t>二、收入决算公开表（见正文附件）</w:t>
      </w:r>
      <w:bookmarkEnd w:id="33"/>
      <w:bookmarkEnd w:id="34"/>
      <w:bookmarkEnd w:id="35"/>
      <w:r>
        <w:rPr>
          <w:rFonts w:hint="eastAsia" w:ascii="黑体" w:hAnsi="黑体" w:eastAsia="黑体" w:cs="黑体"/>
          <w:sz w:val="32"/>
          <w:szCs w:val="32"/>
        </w:rPr>
        <w:t>。</w:t>
      </w:r>
      <w:bookmarkEnd w:id="36"/>
      <w:bookmarkEnd w:id="37"/>
      <w:bookmarkEnd w:id="38"/>
    </w:p>
    <w:p>
      <w:pPr>
        <w:ind w:firstLine="645"/>
        <w:rPr>
          <w:rFonts w:hint="eastAsia" w:ascii="黑体" w:hAnsi="黑体" w:eastAsia="黑体" w:cs="黑体"/>
          <w:sz w:val="32"/>
          <w:szCs w:val="32"/>
        </w:rPr>
      </w:pPr>
      <w:bookmarkStart w:id="39" w:name="_Toc3262_WPSOffice_Level2"/>
      <w:bookmarkStart w:id="40" w:name="_Toc17858_WPSOffice_Level2"/>
      <w:bookmarkStart w:id="41" w:name="_Toc17626_WPSOffice_Level2"/>
      <w:bookmarkStart w:id="42" w:name="_Toc13854_WPSOffice_Level2"/>
      <w:bookmarkStart w:id="43" w:name="_Toc5489_WPSOffice_Level2"/>
      <w:bookmarkStart w:id="44" w:name="_Toc14658_WPSOffice_Level2"/>
      <w:r>
        <w:rPr>
          <w:rFonts w:hint="eastAsia" w:ascii="黑体" w:hAnsi="黑体" w:eastAsia="黑体" w:cs="黑体"/>
          <w:sz w:val="32"/>
          <w:szCs w:val="32"/>
        </w:rPr>
        <w:t>三、支出决算公开表（见正文附件）</w:t>
      </w:r>
      <w:bookmarkEnd w:id="39"/>
      <w:bookmarkEnd w:id="40"/>
      <w:bookmarkEnd w:id="41"/>
      <w:r>
        <w:rPr>
          <w:rFonts w:hint="eastAsia" w:ascii="黑体" w:hAnsi="黑体" w:eastAsia="黑体" w:cs="黑体"/>
          <w:sz w:val="32"/>
          <w:szCs w:val="32"/>
        </w:rPr>
        <w:t>。</w:t>
      </w:r>
      <w:bookmarkEnd w:id="42"/>
      <w:bookmarkEnd w:id="43"/>
      <w:bookmarkEnd w:id="44"/>
    </w:p>
    <w:p>
      <w:pPr>
        <w:ind w:firstLine="645"/>
        <w:rPr>
          <w:rFonts w:hint="eastAsia" w:ascii="黑体" w:hAnsi="黑体" w:eastAsia="黑体" w:cs="黑体"/>
          <w:sz w:val="32"/>
          <w:szCs w:val="32"/>
        </w:rPr>
      </w:pPr>
      <w:bookmarkStart w:id="45" w:name="_Toc21415_WPSOffice_Level2"/>
      <w:bookmarkStart w:id="46" w:name="_Toc13701_WPSOffice_Level2"/>
      <w:bookmarkStart w:id="47" w:name="_Toc23591_WPSOffice_Level2"/>
      <w:bookmarkStart w:id="48" w:name="_Toc23493_WPSOffice_Level2"/>
      <w:bookmarkStart w:id="49" w:name="_Toc7988_WPSOffice_Level2"/>
      <w:bookmarkStart w:id="50" w:name="_Toc4265_WPSOffice_Level2"/>
      <w:r>
        <w:rPr>
          <w:rFonts w:hint="eastAsia" w:ascii="黑体" w:hAnsi="黑体" w:eastAsia="黑体" w:cs="黑体"/>
          <w:sz w:val="32"/>
          <w:szCs w:val="32"/>
        </w:rPr>
        <w:t>四、财政拨款收入支出决算公开表（见正文附件）</w:t>
      </w:r>
      <w:bookmarkEnd w:id="45"/>
      <w:bookmarkEnd w:id="46"/>
      <w:bookmarkEnd w:id="47"/>
      <w:r>
        <w:rPr>
          <w:rFonts w:hint="eastAsia" w:ascii="黑体" w:hAnsi="黑体" w:eastAsia="黑体" w:cs="黑体"/>
          <w:sz w:val="32"/>
          <w:szCs w:val="32"/>
        </w:rPr>
        <w:t>。</w:t>
      </w:r>
      <w:bookmarkEnd w:id="48"/>
      <w:bookmarkEnd w:id="49"/>
      <w:bookmarkEnd w:id="50"/>
    </w:p>
    <w:p>
      <w:pPr>
        <w:ind w:firstLine="645"/>
        <w:rPr>
          <w:rFonts w:hint="eastAsia" w:ascii="黑体" w:hAnsi="黑体" w:eastAsia="黑体" w:cs="黑体"/>
          <w:sz w:val="32"/>
          <w:szCs w:val="32"/>
        </w:rPr>
      </w:pPr>
      <w:bookmarkStart w:id="51" w:name="_Toc7879_WPSOffice_Level2"/>
      <w:bookmarkStart w:id="52" w:name="_Toc22783_WPSOffice_Level2"/>
      <w:bookmarkStart w:id="53" w:name="_Toc25166_WPSOffice_Level2"/>
      <w:bookmarkStart w:id="54" w:name="_Toc23829_WPSOffice_Level2"/>
      <w:bookmarkStart w:id="55" w:name="_Toc2158_WPSOffice_Level2"/>
      <w:bookmarkStart w:id="56" w:name="_Toc13516_WPSOffice_Level2"/>
      <w:r>
        <w:rPr>
          <w:rFonts w:hint="eastAsia" w:ascii="黑体" w:hAnsi="黑体" w:eastAsia="黑体" w:cs="黑体"/>
          <w:sz w:val="32"/>
          <w:szCs w:val="32"/>
        </w:rPr>
        <w:t>五、一般公共预算财政拨款收入支出决算</w:t>
      </w:r>
      <w:bookmarkEnd w:id="51"/>
      <w:bookmarkEnd w:id="52"/>
      <w:bookmarkEnd w:id="53"/>
      <w:bookmarkEnd w:id="54"/>
      <w:r>
        <w:rPr>
          <w:rFonts w:hint="eastAsia" w:ascii="黑体" w:hAnsi="黑体" w:eastAsia="黑体" w:cs="黑体"/>
          <w:sz w:val="32"/>
          <w:szCs w:val="32"/>
        </w:rPr>
        <w:t>公开表</w:t>
      </w:r>
    </w:p>
    <w:p>
      <w:pPr>
        <w:ind w:firstLine="1302" w:firstLineChars="407"/>
        <w:rPr>
          <w:rFonts w:hint="eastAsia" w:ascii="黑体" w:hAnsi="黑体" w:eastAsia="黑体" w:cs="黑体"/>
          <w:sz w:val="32"/>
          <w:szCs w:val="32"/>
        </w:rPr>
      </w:pPr>
      <w:r>
        <w:rPr>
          <w:rFonts w:hint="eastAsia" w:ascii="黑体" w:hAnsi="黑体" w:eastAsia="黑体" w:cs="黑体"/>
          <w:sz w:val="32"/>
          <w:szCs w:val="32"/>
        </w:rPr>
        <w:t>（见正文附件）</w:t>
      </w:r>
      <w:bookmarkEnd w:id="55"/>
      <w:bookmarkEnd w:id="56"/>
      <w:r>
        <w:rPr>
          <w:rFonts w:hint="eastAsia" w:ascii="黑体" w:hAnsi="黑体" w:eastAsia="黑体" w:cs="黑体"/>
          <w:sz w:val="32"/>
          <w:szCs w:val="32"/>
        </w:rPr>
        <w:t>。</w:t>
      </w:r>
    </w:p>
    <w:p>
      <w:pPr>
        <w:ind w:firstLine="645"/>
        <w:rPr>
          <w:rFonts w:hint="eastAsia" w:ascii="黑体" w:hAnsi="黑体" w:eastAsia="黑体" w:cs="黑体"/>
          <w:sz w:val="32"/>
          <w:szCs w:val="32"/>
        </w:rPr>
      </w:pPr>
      <w:bookmarkStart w:id="57" w:name="_Toc2632_WPSOffice_Level2"/>
      <w:bookmarkStart w:id="58" w:name="_Toc25362_WPSOffice_Level2"/>
      <w:bookmarkStart w:id="59" w:name="_Toc17283_WPSOffice_Level2"/>
      <w:bookmarkStart w:id="60" w:name="_Toc5343_WPSOffice_Level2"/>
      <w:bookmarkStart w:id="61" w:name="_Toc17833_WPSOffice_Level2"/>
      <w:bookmarkStart w:id="62" w:name="_Toc8373_WPSOffice_Level2"/>
      <w:r>
        <w:rPr>
          <w:rFonts w:hint="eastAsia" w:ascii="黑体" w:hAnsi="黑体" w:eastAsia="黑体" w:cs="黑体"/>
          <w:sz w:val="32"/>
          <w:szCs w:val="32"/>
        </w:rPr>
        <w:t>六、一般公共预算财政拨款基本支出决算</w:t>
      </w:r>
      <w:bookmarkEnd w:id="57"/>
      <w:bookmarkEnd w:id="58"/>
      <w:bookmarkEnd w:id="59"/>
      <w:bookmarkEnd w:id="60"/>
      <w:bookmarkEnd w:id="61"/>
      <w:bookmarkEnd w:id="62"/>
      <w:r>
        <w:rPr>
          <w:rFonts w:hint="eastAsia" w:ascii="黑体" w:hAnsi="黑体" w:eastAsia="黑体" w:cs="黑体"/>
          <w:sz w:val="32"/>
          <w:szCs w:val="32"/>
        </w:rPr>
        <w:t>公开表</w:t>
      </w:r>
    </w:p>
    <w:p>
      <w:pPr>
        <w:ind w:firstLine="1280" w:firstLineChars="40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bookmarkStart w:id="63" w:name="_Toc21310_WPSOffice_Level2"/>
      <w:bookmarkStart w:id="64" w:name="_Toc5594_WPSOffice_Level2"/>
      <w:bookmarkStart w:id="65" w:name="_Toc6020_WPSOffice_Level2"/>
      <w:bookmarkStart w:id="66" w:name="_Toc13345_WPSOffice_Level2"/>
      <w:bookmarkStart w:id="67" w:name="_Toc11799_WPSOffice_Level2"/>
      <w:bookmarkStart w:id="68" w:name="_Toc1533_WPSOffice_Level2"/>
      <w:r>
        <w:rPr>
          <w:rFonts w:hint="eastAsia" w:ascii="黑体" w:hAnsi="黑体" w:eastAsia="黑体" w:cs="黑体"/>
          <w:sz w:val="32"/>
          <w:szCs w:val="32"/>
        </w:rPr>
        <w:t>七、政府性基金预算财政拨款收入支出决算</w:t>
      </w:r>
      <w:bookmarkEnd w:id="63"/>
      <w:bookmarkEnd w:id="64"/>
      <w:bookmarkEnd w:id="65"/>
      <w:bookmarkEnd w:id="66"/>
      <w:bookmarkEnd w:id="67"/>
      <w:bookmarkEnd w:id="68"/>
      <w:r>
        <w:rPr>
          <w:rFonts w:hint="eastAsia" w:ascii="黑体" w:hAnsi="黑体" w:eastAsia="黑体" w:cs="黑体"/>
          <w:sz w:val="32"/>
          <w:szCs w:val="32"/>
        </w:rPr>
        <w:t>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rPr>
          <w:rFonts w:hint="eastAsia" w:ascii="黑体" w:hAnsi="黑体" w:eastAsia="黑体" w:cs="黑体"/>
          <w:sz w:val="32"/>
          <w:szCs w:val="32"/>
        </w:rPr>
      </w:pPr>
      <w:bookmarkStart w:id="69" w:name="_Toc9377_WPSOffice_Level2"/>
      <w:bookmarkStart w:id="70" w:name="_Toc19961_WPSOffice_Level2"/>
      <w:bookmarkStart w:id="71" w:name="_Toc1820_WPSOffice_Level2"/>
      <w:bookmarkStart w:id="72" w:name="_Toc29886_WPSOffice_Level2"/>
      <w:r>
        <w:rPr>
          <w:rFonts w:hint="eastAsia" w:ascii="黑体" w:hAnsi="黑体" w:eastAsia="黑体" w:cs="黑体"/>
          <w:sz w:val="32"/>
          <w:szCs w:val="32"/>
        </w:rPr>
        <w:t xml:space="preserve">    九、一般公共预算财政拨款“三公”经费支出决算</w:t>
      </w:r>
    </w:p>
    <w:p>
      <w:pPr>
        <w:rPr>
          <w:rFonts w:hint="eastAsia" w:ascii="黑体" w:hAnsi="黑体" w:eastAsia="黑体" w:cs="黑体"/>
          <w:sz w:val="32"/>
          <w:szCs w:val="32"/>
        </w:rPr>
      </w:pPr>
      <w:r>
        <w:rPr>
          <w:rFonts w:hint="eastAsia" w:ascii="黑体" w:hAnsi="黑体" w:eastAsia="黑体" w:cs="黑体"/>
          <w:sz w:val="32"/>
          <w:szCs w:val="32"/>
        </w:rPr>
        <w:t xml:space="preserve">         </w:t>
      </w:r>
      <w:bookmarkEnd w:id="69"/>
      <w:bookmarkEnd w:id="70"/>
      <w:bookmarkEnd w:id="71"/>
      <w:bookmarkEnd w:id="72"/>
      <w:r>
        <w:rPr>
          <w:rFonts w:hint="eastAsia" w:ascii="黑体" w:hAnsi="黑体" w:eastAsia="黑体" w:cs="黑体"/>
          <w:sz w:val="32"/>
          <w:szCs w:val="32"/>
        </w:rPr>
        <w:t>公开表（见正文附件）。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sz w:val="32"/>
          <w:szCs w:val="32"/>
        </w:rPr>
      </w:pPr>
    </w:p>
    <w:p>
      <w:pPr>
        <w:jc w:val="center"/>
        <w:rPr>
          <w:rFonts w:hint="eastAsia" w:ascii="黑体" w:hAnsi="ˎ̥" w:eastAsia="黑体"/>
          <w:sz w:val="32"/>
          <w:szCs w:val="32"/>
        </w:rPr>
      </w:pPr>
      <w:bookmarkStart w:id="73" w:name="_Toc28629_WPSOffice_Level1"/>
      <w:bookmarkStart w:id="74" w:name="_Toc16686_WPSOffice_Level1"/>
      <w:bookmarkStart w:id="75" w:name="_Toc29683_WPSOffice_Level1"/>
      <w:bookmarkStart w:id="76" w:name="_Toc4402_WPSOffice_Level1"/>
      <w:bookmarkStart w:id="77" w:name="_Toc31264_WPSOffice_Level1"/>
      <w:bookmarkStart w:id="78" w:name="_Toc27590_WPSOffice_Level1"/>
      <w:r>
        <w:rPr>
          <w:rFonts w:hint="eastAsia" w:ascii="黑体" w:hAnsi="ˎ̥" w:eastAsia="黑体"/>
          <w:sz w:val="32"/>
          <w:szCs w:val="32"/>
        </w:rPr>
        <w:t>第三部分  海口市社会治安综合治理中心2021年度单位决算情况说明</w:t>
      </w:r>
      <w:bookmarkEnd w:id="73"/>
      <w:bookmarkEnd w:id="74"/>
      <w:bookmarkEnd w:id="75"/>
      <w:bookmarkEnd w:id="76"/>
      <w:bookmarkEnd w:id="77"/>
      <w:bookmarkEnd w:id="78"/>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2021年度收入总计164.73万元，支出总计164.73万元，与2020年度相比，收入、支出总计各增加164.73万元，增长0%。主要原因：我中心为2021年新增单位。使用非财政拨款结余0万元，较2020年度决算数增加0万元，主要原因是我中心为2021年新增单位。年初结转结余0万元，较2020年度决算数增加0万元，增长0%，主要原因是我中心为2021年新增单位。结余分配0万元，较2020年度决算数增加0万元，增长0%，主要原因是我中心为2021年新增单位。年末结转结余0万元，较2020年度决算数增加0万元，增长0%，主要原因是我中心为2021年新增单位。</w:t>
      </w:r>
    </w:p>
    <w:p>
      <w:pPr>
        <w:rPr>
          <w:rFonts w:hint="eastAsia" w:ascii="仿宋_GB2312" w:hAnsi="ˎ̥" w:eastAsia="仿宋_GB2312"/>
          <w:sz w:val="32"/>
          <w:szCs w:val="32"/>
        </w:rPr>
      </w:pPr>
      <w:r>
        <w:rPr>
          <w:rFonts w:hint="eastAsia" w:ascii="仿宋_GB2312" w:hAnsi="ˎ̥" w:eastAsia="仿宋_GB2312"/>
          <w:sz w:val="32"/>
          <w:szCs w:val="32"/>
        </w:rPr>
        <w:t xml:space="preserve">   （2021年度相关决算数据，可取自附件财决公开01表；2020年度相关决算数据可取自2020年度单位决算报表财决01表《收入支出决算总表》。）</w:t>
      </w: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本年收入合计164.73万元，其中：财政拨款收入164.73万元，占100%；上级补助收入0万元，占0%；事业收入0万元，占0%；经营收入0万元，占0%；附属单位上缴收入0万元，占0%；其他收入0万元，占0%。</w:t>
      </w:r>
    </w:p>
    <w:p>
      <w:pPr>
        <w:ind w:left="412" w:leftChars="196"/>
        <w:rPr>
          <w:rFonts w:hint="eastAsia" w:ascii="仿宋_GB2312" w:hAnsi="ˎ̥" w:eastAsia="仿宋_GB2312"/>
          <w:sz w:val="32"/>
          <w:szCs w:val="32"/>
        </w:rPr>
      </w:pPr>
      <w:r>
        <w:rPr>
          <w:rFonts w:hint="eastAsia" w:ascii="仿宋_GB2312" w:hAnsi="ˎ̥" w:eastAsia="仿宋_GB2312"/>
          <w:sz w:val="32"/>
          <w:szCs w:val="32"/>
        </w:rPr>
        <w:t xml:space="preserve">  （上述各项收入数字可取自财决公开02表）</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本年支出合计164.73万元，其中：基本支出66.26万元，占40.22%；项目支出98.47万元，占59.78%；上缴上级支出0万元，占0%；经营支出0万元，占0%；对附属单位补助支出0万元，占0%。</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（上述各项支出数字可取自财决公开03表。）</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2021年度财政拨款收入总计164.73万元，支出总计164.73万元。与2020年度相比，财政拨款收入、支出总计各增加164.73万元，增长0%。主要原因：我中心为2021年新增单位。</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财政拨款年初结转结余0万元，主要是我中心为2021年新增单位（简要说明结转结余形成或来源），较2020年度决算数增加0万元，增长0%，主要原因是我中心为2021年新增单位。</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财政拨款年末结转结余0万元，主要是我中心为2021年新增单位，较2020年度年末决算数增加0万元，增长0%，主要原因是我中心为2021年新增单位。</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（2021年度决算相关数据取自财决公开04表。2020年度决算相关数据可取自2020年度部门决算报表财决01-1表《财政拨款收入支出决算总表》。）</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hint="eastAsia" w:ascii="楷体" w:hAnsi="楷体" w:eastAsia="楷体" w:cs="楷体"/>
          <w:sz w:val="32"/>
          <w:szCs w:val="32"/>
        </w:rPr>
      </w:pPr>
      <w:bookmarkStart w:id="79" w:name="_Toc13694_WPSOffice_Level2"/>
      <w:bookmarkStart w:id="80" w:name="_Toc17398_WPSOffice_Level2"/>
      <w:bookmarkStart w:id="81" w:name="_Toc21737_WPSOffice_Level2"/>
      <w:bookmarkStart w:id="82" w:name="_Toc9989_WPSOffice_Level2"/>
      <w:bookmarkStart w:id="83" w:name="_Toc23005_WPSOffice_Level2"/>
      <w:bookmarkStart w:id="84" w:name="_Toc19665_WPSOffice_Level2"/>
      <w:r>
        <w:rPr>
          <w:rFonts w:hint="eastAsia" w:ascii="楷体" w:hAnsi="楷体" w:eastAsia="楷体" w:cs="楷体"/>
          <w:sz w:val="32"/>
          <w:szCs w:val="32"/>
        </w:rPr>
        <w:t>（一）一般公共预算财政拨款支出决算总体情况</w:t>
      </w:r>
      <w:bookmarkEnd w:id="79"/>
      <w:bookmarkEnd w:id="80"/>
      <w:r>
        <w:rPr>
          <w:rFonts w:hint="eastAsia" w:ascii="楷体" w:hAnsi="楷体" w:eastAsia="楷体" w:cs="楷体"/>
          <w:sz w:val="32"/>
          <w:szCs w:val="32"/>
        </w:rPr>
        <w:t>。</w:t>
      </w:r>
      <w:bookmarkEnd w:id="81"/>
      <w:bookmarkEnd w:id="82"/>
      <w:bookmarkEnd w:id="83"/>
      <w:bookmarkEnd w:id="84"/>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2021年度一般公共预算财政拨款支出164.73万元，占本年支出合计的100%。与2020年度相比，一般公共预算财政拨款支出增加164.73万元，增长0%，主要原因是我中心为2021年新增单位。</w:t>
      </w:r>
    </w:p>
    <w:p>
      <w:pPr>
        <w:ind w:firstLine="640" w:firstLineChars="200"/>
        <w:rPr>
          <w:rFonts w:hint="eastAsia" w:ascii="楷体" w:hAnsi="楷体" w:eastAsia="楷体" w:cs="楷体"/>
          <w:sz w:val="32"/>
          <w:szCs w:val="32"/>
        </w:rPr>
      </w:pPr>
      <w:bookmarkStart w:id="85" w:name="_Toc2711_WPSOffice_Level2"/>
      <w:bookmarkStart w:id="86" w:name="_Toc18793_WPSOffice_Level2"/>
      <w:bookmarkStart w:id="87" w:name="_Toc19075_WPSOffice_Level2"/>
      <w:bookmarkStart w:id="88" w:name="_Toc27767_WPSOffice_Level2"/>
      <w:bookmarkStart w:id="89" w:name="_Toc19535_WPSOffice_Level2"/>
      <w:bookmarkStart w:id="90" w:name="_Toc23864_WPSOffice_Level2"/>
      <w:r>
        <w:rPr>
          <w:rFonts w:hint="eastAsia" w:ascii="楷体" w:hAnsi="楷体" w:eastAsia="楷体" w:cs="楷体"/>
          <w:sz w:val="32"/>
          <w:szCs w:val="32"/>
        </w:rPr>
        <w:t>（二）一般公共预算财政拨款支出决算结构情况</w:t>
      </w:r>
      <w:bookmarkEnd w:id="85"/>
      <w:bookmarkEnd w:id="86"/>
      <w:r>
        <w:rPr>
          <w:rFonts w:hint="eastAsia" w:ascii="楷体" w:hAnsi="楷体" w:eastAsia="楷体" w:cs="楷体"/>
          <w:sz w:val="32"/>
          <w:szCs w:val="32"/>
        </w:rPr>
        <w:t>。</w:t>
      </w:r>
      <w:bookmarkEnd w:id="87"/>
      <w:bookmarkEnd w:id="88"/>
      <w:bookmarkEnd w:id="89"/>
      <w:bookmarkEnd w:id="90"/>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2021年度一般公共预算财政拨款支出164.73万元，主要用于以下方面：</w:t>
      </w:r>
      <w:r>
        <w:rPr>
          <w:rFonts w:hint="eastAsia" w:ascii="仿宋_GB2312" w:hAnsi="ˎ̥" w:eastAsia="仿宋_GB2312"/>
          <w:b/>
          <w:sz w:val="32"/>
          <w:szCs w:val="32"/>
        </w:rPr>
        <w:t>一般公共服务（类）党委办公厅（室）及相关机构事务（款）事业运行（项）</w:t>
      </w:r>
      <w:r>
        <w:rPr>
          <w:rFonts w:hint="eastAsia" w:ascii="仿宋_GB2312" w:hAnsi="ˎ̥" w:eastAsia="仿宋_GB2312"/>
          <w:sz w:val="32"/>
          <w:szCs w:val="32"/>
        </w:rPr>
        <w:t>支出146.99万元，占89.23%；</w:t>
      </w:r>
      <w:r>
        <w:rPr>
          <w:rFonts w:hint="eastAsia" w:ascii="仿宋_GB2312" w:hAnsi="ˎ̥" w:eastAsia="仿宋_GB2312"/>
          <w:b/>
          <w:sz w:val="32"/>
          <w:szCs w:val="32"/>
        </w:rPr>
        <w:t>社会保障和就业（类）行政事业单位养老（款）机关事业单位养老（项）</w:t>
      </w:r>
      <w:r>
        <w:rPr>
          <w:rFonts w:hint="eastAsia" w:ascii="仿宋_GB2312" w:hAnsi="ˎ̥" w:eastAsia="仿宋_GB2312"/>
          <w:sz w:val="32"/>
          <w:szCs w:val="32"/>
        </w:rPr>
        <w:t>支出6万元，占3.64%；</w:t>
      </w:r>
      <w:r>
        <w:rPr>
          <w:rFonts w:hint="eastAsia" w:ascii="仿宋_GB2312" w:hAnsi="ˎ̥" w:eastAsia="仿宋_GB2312"/>
          <w:b/>
          <w:bCs/>
          <w:sz w:val="32"/>
          <w:szCs w:val="32"/>
        </w:rPr>
        <w:t>卫生健康（类）行政事业单位医疗（款）事业单位医疗（项）</w:t>
      </w:r>
      <w:r>
        <w:rPr>
          <w:rFonts w:hint="eastAsia" w:ascii="仿宋_GB2312" w:hAnsi="ˎ̥" w:eastAsia="仿宋_GB2312"/>
          <w:sz w:val="32"/>
          <w:szCs w:val="32"/>
        </w:rPr>
        <w:t>支出3.19万元，占1.94%；</w:t>
      </w:r>
      <w:r>
        <w:rPr>
          <w:rFonts w:hint="eastAsia" w:ascii="仿宋_GB2312" w:hAnsi="ˎ̥" w:eastAsia="仿宋_GB2312"/>
          <w:b/>
          <w:bCs/>
          <w:sz w:val="32"/>
          <w:szCs w:val="32"/>
        </w:rPr>
        <w:t>卫生健康（类）行政事业单位医疗（款）其他行政事业单位医疗（项）</w:t>
      </w:r>
      <w:r>
        <w:rPr>
          <w:rFonts w:hint="eastAsia" w:ascii="仿宋_GB2312" w:hAnsi="ˎ̥" w:eastAsia="仿宋_GB2312"/>
          <w:sz w:val="32"/>
          <w:szCs w:val="32"/>
        </w:rPr>
        <w:t>支出3.65万元，占2.22%；</w:t>
      </w:r>
      <w:r>
        <w:rPr>
          <w:rFonts w:hint="eastAsia" w:ascii="仿宋_GB2312" w:hAnsi="ˎ̥" w:eastAsia="仿宋_GB2312"/>
          <w:b/>
          <w:bCs/>
          <w:sz w:val="32"/>
          <w:szCs w:val="32"/>
        </w:rPr>
        <w:t>住房保障（类）住房改革（款）住房公积金（项）</w:t>
      </w:r>
      <w:r>
        <w:rPr>
          <w:rFonts w:hint="eastAsia" w:ascii="仿宋_GB2312" w:hAnsi="ˎ̥" w:eastAsia="仿宋_GB2312"/>
          <w:sz w:val="32"/>
          <w:szCs w:val="32"/>
        </w:rPr>
        <w:t>支出4.9万元，占2.97%。</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（根据各单位实际支出涉及的支出功能分类类级科目填列）</w:t>
      </w:r>
    </w:p>
    <w:p>
      <w:pPr>
        <w:ind w:firstLine="640" w:firstLineChars="200"/>
        <w:rPr>
          <w:rFonts w:hint="eastAsia" w:ascii="楷体" w:hAnsi="楷体" w:eastAsia="楷体" w:cs="楷体"/>
          <w:sz w:val="32"/>
          <w:szCs w:val="32"/>
        </w:rPr>
      </w:pPr>
      <w:bookmarkStart w:id="91" w:name="_Toc9502_WPSOffice_Level2"/>
      <w:bookmarkStart w:id="92" w:name="_Toc15415_WPSOffice_Level2"/>
      <w:bookmarkStart w:id="93" w:name="_Toc22318_WPSOffice_Level2"/>
      <w:bookmarkStart w:id="94" w:name="_Toc29364_WPSOffice_Level2"/>
      <w:bookmarkStart w:id="95" w:name="_Toc25136_WPSOffice_Level2"/>
      <w:bookmarkStart w:id="96" w:name="_Toc21701_WPSOffice_Level2"/>
      <w:r>
        <w:rPr>
          <w:rFonts w:hint="eastAsia" w:ascii="楷体" w:hAnsi="楷体" w:eastAsia="楷体" w:cs="楷体"/>
          <w:sz w:val="32"/>
          <w:szCs w:val="32"/>
        </w:rPr>
        <w:t>（三）一般公共预算财政拨款支出决算具体情况。</w:t>
      </w:r>
      <w:bookmarkEnd w:id="91"/>
      <w:bookmarkEnd w:id="92"/>
      <w:bookmarkEnd w:id="93"/>
      <w:bookmarkEnd w:id="94"/>
      <w:bookmarkEnd w:id="95"/>
      <w:bookmarkEnd w:id="96"/>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2021年度一般公共预算财政拨款支出年初预算为196.52万元，支出决算为164.73万元，完成年初预算的83.82%。其中：</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1.</w:t>
      </w:r>
      <w:r>
        <w:rPr>
          <w:rFonts w:hint="eastAsia" w:ascii="仿宋_GB2312" w:hAnsi="ˎ̥" w:eastAsia="仿宋_GB2312"/>
          <w:b/>
          <w:sz w:val="32"/>
          <w:szCs w:val="32"/>
        </w:rPr>
        <w:t>一般公共服务（类）党委办公厅（室）及相关机构事务（款）事业运行（项）。</w:t>
      </w:r>
      <w:r>
        <w:rPr>
          <w:rFonts w:hint="eastAsia" w:ascii="仿宋_GB2312" w:hAnsi="ˎ̥" w:eastAsia="仿宋_GB2312"/>
          <w:sz w:val="32"/>
          <w:szCs w:val="32"/>
        </w:rPr>
        <w:t>年初预算为176.47万元，支出决算为146.99万元，完成年初预算的83.29%。决算数小于预算数的主要原因：行政经费减少。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w:t>
      </w:r>
      <w:r>
        <w:rPr>
          <w:rFonts w:hint="eastAsia" w:ascii="仿宋_GB2312" w:hAnsi="ˎ̥" w:eastAsia="仿宋_GB2312"/>
          <w:b/>
          <w:sz w:val="32"/>
          <w:szCs w:val="32"/>
        </w:rPr>
        <w:t>社会保障和就业（类）行政事业单位养老（款）机关事业单位养老（项）。</w:t>
      </w:r>
      <w:r>
        <w:rPr>
          <w:rFonts w:hint="eastAsia" w:ascii="仿宋_GB2312" w:hAnsi="ˎ̥" w:eastAsia="仿宋_GB2312"/>
          <w:sz w:val="32"/>
          <w:szCs w:val="32"/>
        </w:rPr>
        <w:t>年初预算为 6.86万元，支出决算为6万元，完成年初预算的87.46%。决算数小于预算数的主要原因：养老基数调整。</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3.</w:t>
      </w:r>
      <w:r>
        <w:rPr>
          <w:rFonts w:hint="eastAsia" w:ascii="仿宋_GB2312" w:hAnsi="ˎ̥" w:eastAsia="仿宋_GB2312"/>
          <w:b/>
          <w:bCs/>
          <w:sz w:val="32"/>
          <w:szCs w:val="32"/>
        </w:rPr>
        <w:t>卫生健康（类）行政事业单位医疗（款）事业单位医疗（项）</w:t>
      </w:r>
      <w:r>
        <w:rPr>
          <w:rFonts w:hint="eastAsia" w:ascii="仿宋_GB2312" w:hAnsi="ˎ̥" w:eastAsia="仿宋_GB2312"/>
          <w:b/>
          <w:sz w:val="32"/>
          <w:szCs w:val="32"/>
        </w:rPr>
        <w:t>。</w:t>
      </w:r>
      <w:r>
        <w:rPr>
          <w:rFonts w:hint="eastAsia" w:ascii="仿宋_GB2312" w:hAnsi="ˎ̥" w:eastAsia="仿宋_GB2312"/>
          <w:sz w:val="32"/>
          <w:szCs w:val="32"/>
        </w:rPr>
        <w:t>年初预算为 3.65万元，支出决算为3.19万元，完成年初预算的87.40%。决算数小于预算数的主要原因：人员工资调整。</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4.</w:t>
      </w:r>
      <w:r>
        <w:rPr>
          <w:rFonts w:hint="eastAsia" w:ascii="仿宋_GB2312" w:hAnsi="ˎ̥" w:eastAsia="仿宋_GB2312"/>
          <w:b/>
          <w:bCs/>
          <w:sz w:val="32"/>
          <w:szCs w:val="32"/>
        </w:rPr>
        <w:t>卫生健康（类）行政事业单位医疗（款）其他行政事业单位医疗（项）</w:t>
      </w:r>
      <w:r>
        <w:rPr>
          <w:rFonts w:hint="eastAsia" w:ascii="仿宋_GB2312" w:hAnsi="ˎ̥" w:eastAsia="仿宋_GB2312"/>
          <w:sz w:val="32"/>
          <w:szCs w:val="32"/>
        </w:rPr>
        <w:t>年初预算为4.59万元，支出决算为3.65万元，完成年初预算的79.52%。决算数小于预算数的主要原因：人员工资调整。</w:t>
      </w:r>
    </w:p>
    <w:p>
      <w:pPr>
        <w:ind w:firstLine="640" w:firstLineChars="200"/>
        <w:rPr>
          <w:rFonts w:ascii="仿宋_GB2312" w:hAnsi="ˎ̥" w:eastAsia="仿宋_GB2312"/>
          <w:sz w:val="32"/>
          <w:szCs w:val="32"/>
        </w:rPr>
      </w:pPr>
      <w:r>
        <w:rPr>
          <w:rFonts w:hint="eastAsia" w:ascii="仿宋_GB2312" w:hAnsi="ˎ̥" w:eastAsia="仿宋_GB2312"/>
          <w:sz w:val="32"/>
          <w:szCs w:val="32"/>
        </w:rPr>
        <w:t>5.</w:t>
      </w:r>
      <w:r>
        <w:rPr>
          <w:rFonts w:hint="eastAsia" w:ascii="仿宋_GB2312" w:hAnsi="ˎ̥" w:eastAsia="仿宋_GB2312"/>
          <w:b/>
          <w:bCs/>
          <w:sz w:val="32"/>
          <w:szCs w:val="32"/>
        </w:rPr>
        <w:t>住房保障（类）住房改革（款）住房公积金（项）</w:t>
      </w:r>
      <w:r>
        <w:rPr>
          <w:rFonts w:hint="eastAsia" w:ascii="仿宋_GB2312" w:hAnsi="ˎ̥" w:eastAsia="仿宋_GB2312"/>
          <w:sz w:val="32"/>
          <w:szCs w:val="32"/>
        </w:rPr>
        <w:t>年初预算为4.95万元，支出决算为4.9万元，完成年初预算的98.99%。决算数小于预算数的主要原因：人员工资调整。</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（本部分支出决算数字可取自财决公开05表，年初预算数可取自各单位初预算大本，根据各单位实际支出涉及的支出功能分类项级科目填列）。</w:t>
      </w:r>
    </w:p>
    <w:p>
      <w:pPr>
        <w:ind w:firstLine="627" w:firstLineChars="196"/>
        <w:rPr>
          <w:rFonts w:hint="eastAsia"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2021年度财政拨款基本支出66.26万元，其中：人员经费58.65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7.61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（上述数字可取自财决公开06表，各单位根据实际支出情况，选列相应支出经济分类。）</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2021年度政府性基金预算财政拨款支出0万元，占本年支出合计的0%。与2020年度相比，政府性基金预算财政拨款支出增加0万元，增长0%，本年度无此项安排。</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2021年度政府性基金预算财政拨款支出0万元，本年度无此项安排。</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2021年度政府性基金预算财政拨款支出年初预算为0万元，支出决算为0万元，完成年初预算的0%。本年度无此项安排。</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（根据各单位实际支出涉及的支出功能分类项级科目填列，本部分2021年决算相关数据取自财决公开07表；2020年决算相关数据取自财决09表《政府性基金预算财政拨款收入支出决算表》）。</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2021年度国有资本经营预算财政拨款支出0万元，占本年支出合计的0%。与2020年度相比，国有资本经营预算财政拨款支出增加0万元，增长0%，本年度无此项安排。</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2021年度国有资本经营预算财政拨款支出0万元，本年度无此项安排。</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2021年度国有资本经营预算财政拨款支出年初预算为0万元，支出决算为0万元，完成年初预算的0%。本年度无此项安排。</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（根据各单位实际支出涉及的支出功能分类项级科目填列，本部分2021年决算相关数据取自财决公开08表）。</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rPr>
        <w:t xml:space="preserve">    2021年度一般公共预算财政拨款“三公”经费支出预算为0万元，支出决算为0万元，完成预算的0%。</w:t>
      </w:r>
    </w:p>
    <w:p>
      <w:pPr>
        <w:rPr>
          <w:rFonts w:hint="eastAsia"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2021年度一般公共预算财政拨款“三公”经费支出决算中，因公出国（境）费支出决算0万元，占0%；公务用车购置及运行费支出决算0万元，占0%；公务接待费支出决算0万元，占0%。具体情况如下：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支出0万元。全年安排因公出国（境）团组0个，因公出国（境）0人次。</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因公出国（境）费支出决算比预算数增加0万元，增长0%。主要原因是无此项安排。本年决算数较上年增加0万元，增长0%。本年度无此项支出。</w:t>
      </w:r>
    </w:p>
    <w:p>
      <w:pPr>
        <w:rPr>
          <w:rFonts w:hint="eastAsia" w:ascii="仿宋_GB2312" w:hAnsi="ˎ̥" w:eastAsia="仿宋_GB2312"/>
          <w:sz w:val="32"/>
          <w:szCs w:val="32"/>
        </w:rPr>
      </w:pPr>
      <w:r>
        <w:rPr>
          <w:rFonts w:hint="eastAsia" w:ascii="仿宋_GB2312" w:hAnsi="ˎ̥" w:eastAsia="仿宋_GB2312"/>
          <w:b/>
          <w:sz w:val="32"/>
          <w:szCs w:val="32"/>
        </w:rPr>
        <w:t xml:space="preserve">    2.公务用车购置及运行费支出</w:t>
      </w:r>
      <w:r>
        <w:rPr>
          <w:rFonts w:hint="eastAsia" w:ascii="仿宋_GB2312" w:hAnsi="ˎ̥" w:eastAsia="仿宋_GB2312"/>
          <w:sz w:val="32"/>
          <w:szCs w:val="32"/>
        </w:rPr>
        <w:t>0万元。其中：</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rPr>
        <w:t>0万元，全年购置公务用车0辆，年末公务用车保有量0辆。</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公务用车运行维护费</w:t>
      </w:r>
      <w:r>
        <w:rPr>
          <w:rFonts w:hint="eastAsia" w:ascii="仿宋_GB2312" w:hAnsi="ˎ̥" w:eastAsia="仿宋_GB2312"/>
          <w:sz w:val="32"/>
          <w:szCs w:val="32"/>
        </w:rPr>
        <w:t>支出0万元。</w:t>
      </w:r>
    </w:p>
    <w:p>
      <w:pPr>
        <w:ind w:firstLine="640" w:firstLineChars="200"/>
        <w:rPr>
          <w:rFonts w:hint="eastAsia"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比预算数增加0万元，增长0%。主要原因是无此项支出。本年决算数较上年增加0万元，增长0%。主要原因是无此项支出。</w:t>
      </w:r>
    </w:p>
    <w:p>
      <w:pPr>
        <w:rPr>
          <w:rFonts w:hint="eastAsia" w:ascii="仿宋_GB2312" w:hAnsi="ˎ̥" w:eastAsia="仿宋_GB2312"/>
          <w:sz w:val="32"/>
          <w:szCs w:val="32"/>
        </w:rPr>
      </w:pPr>
      <w:r>
        <w:rPr>
          <w:rFonts w:hint="eastAsia" w:ascii="仿宋_GB2312" w:hAnsi="ˎ̥" w:eastAsia="仿宋_GB2312"/>
          <w:b/>
          <w:sz w:val="32"/>
          <w:szCs w:val="32"/>
        </w:rPr>
        <w:t xml:space="preserve">    3.公务接待费支出</w:t>
      </w:r>
      <w:r>
        <w:rPr>
          <w:rFonts w:hint="eastAsia" w:ascii="仿宋_GB2312" w:hAnsi="ˎ̥" w:eastAsia="仿宋_GB2312"/>
          <w:sz w:val="32"/>
          <w:szCs w:val="32"/>
        </w:rPr>
        <w:t>0万元，其中：</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国内接待费</w:t>
      </w:r>
      <w:r>
        <w:rPr>
          <w:rFonts w:hint="eastAsia" w:ascii="仿宋_GB2312" w:hAnsi="ˎ̥" w:eastAsia="仿宋_GB2312"/>
          <w:sz w:val="32"/>
          <w:szCs w:val="32"/>
        </w:rPr>
        <w:t>支出0万元，国内公务接待0批次，接待0人次。</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国（境）外接待费支出0万元，国（境）外公务接待0批次，接待0人次。</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公务接待费支出决算数比预算数增加0万元，增长0%。主要原因是无此项安排。本年决算数较上年增加0万元，增长0%。本年度无此项安排。</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三公”经费预算数、决算数可取自附件财决公开09表，2021年的出国团组数、出国人次，公务用车购置数、公务用车保有量，接待团组数、接待人次可取自单位决算报表F03表《机构运行信息表》）。（如有则公开）</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2021年度政府性基金预算财政拨款“三公”经费支出合计0万元。其中：因公出国（境）费支出决算0万元，占0%；公务用车购置及运行费支出决算0万元，占0%；公务接待费支出决算0万元，占0%。本年度无此安排。</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（本部分决算公开数字取自财决公开10表）</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2021年度国有资本经营预算财政拨款“三公”经费支出合计0万元。其中：因公出国（境）费支出决算0万元，占0%；公务用车购置及运行费支出决算0万元，占0%；公务接待费支出决算0万元，占0%。本年度无此安排。</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（本部分决算公开数字取自财决公开11表）</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根据财政预算绩效管理要求，可按照如下格式说明：根据财政预算管理要求，我单位组织对2021年度一般公共预算项目支出全面开展绩效自评。自评项目1个，共涉及资金93.47万元，自评覆盖率达到100%。</w:t>
      </w:r>
    </w:p>
    <w:p>
      <w:pPr>
        <w:ind w:firstLine="640" w:firstLineChars="200"/>
        <w:rPr>
          <w:rFonts w:hint="eastAsia" w:ascii="仿宋_GB2312" w:eastAsia="仿宋_GB2312"/>
          <w:sz w:val="32"/>
          <w:szCs w:val="32"/>
        </w:rPr>
      </w:pPr>
      <w:r>
        <w:rPr>
          <w:rFonts w:hint="eastAsia" w:ascii="仿宋_GB2312" w:eastAsia="仿宋_GB2312"/>
          <w:sz w:val="32"/>
          <w:szCs w:val="32"/>
        </w:rPr>
        <w:t>共组织对“综治中心”1个项目开展了部门评价，涉及资金93.47万元。从评价情况来看，项目支出绩效目标完成情况</w:t>
      </w:r>
      <w:r>
        <w:rPr>
          <w:rFonts w:hint="eastAsia" w:ascii="仿宋_GB2312" w:eastAsia="仿宋_GB2312"/>
          <w:sz w:val="31"/>
          <w:szCs w:val="31"/>
        </w:rPr>
        <w:t>较好</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开展整体支出绩效评价，涉及资金93.47万元。从评价情况来看，</w:t>
      </w:r>
      <w:r>
        <w:rPr>
          <w:rFonts w:hint="eastAsia" w:ascii="仿宋_GB2312" w:eastAsia="仿宋_GB2312"/>
          <w:sz w:val="31"/>
          <w:szCs w:val="31"/>
        </w:rPr>
        <w:t>绩效评价整体成果较好。</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（二）部门决算中项目绩效自评结果。（如有）</w:t>
      </w:r>
    </w:p>
    <w:p>
      <w:pPr>
        <w:ind w:firstLine="640" w:firstLineChars="200"/>
        <w:rPr>
          <w:rFonts w:hint="eastAsia" w:ascii="仿宋_GB2312" w:eastAsia="仿宋_GB2312"/>
          <w:sz w:val="32"/>
          <w:szCs w:val="32"/>
        </w:rPr>
      </w:pPr>
      <w:r>
        <w:rPr>
          <w:rFonts w:hint="eastAsia" w:ascii="仿宋_GB2312" w:eastAsia="仿宋_GB2312"/>
          <w:sz w:val="32"/>
          <w:szCs w:val="32"/>
        </w:rPr>
        <w:t>参照如下格式说明（表述应与决算内容保持一致）：我单位今年在市本级部门决算中反映综治中心项目绩效自评结果。</w:t>
      </w:r>
    </w:p>
    <w:p>
      <w:pPr>
        <w:ind w:firstLine="640" w:firstLineChars="200"/>
        <w:rPr>
          <w:rFonts w:hint="eastAsia" w:ascii="仿宋_GB2312" w:eastAsia="仿宋_GB2312"/>
          <w:sz w:val="32"/>
          <w:szCs w:val="32"/>
        </w:rPr>
      </w:pPr>
      <w:r>
        <w:rPr>
          <w:rFonts w:hint="eastAsia" w:ascii="仿宋_GB2312" w:eastAsia="仿宋_GB2312"/>
          <w:sz w:val="32"/>
          <w:szCs w:val="32"/>
        </w:rPr>
        <w:t>综治中心项目绩效自评综述：根据年初设定的绩效目标，项目自评得分为97分。全年预算数为95万元，执行数为93.47万元，完成预算的98.39%。项目绩效目标完成情况是综治中心工作开展顺利。发现的主要问题及原因是</w:t>
      </w:r>
      <w:r>
        <w:rPr>
          <w:rFonts w:hint="eastAsia" w:ascii="仿宋_GB2312" w:eastAsia="仿宋_GB2312"/>
          <w:sz w:val="31"/>
          <w:szCs w:val="31"/>
        </w:rPr>
        <w:t>支出进度不均衡</w:t>
      </w:r>
      <w:r>
        <w:rPr>
          <w:rFonts w:hint="eastAsia" w:ascii="仿宋_GB2312" w:eastAsia="仿宋_GB2312"/>
          <w:sz w:val="32"/>
          <w:szCs w:val="32"/>
        </w:rPr>
        <w:t>。下一步改进措施：一是</w:t>
      </w:r>
      <w:r>
        <w:rPr>
          <w:rFonts w:hint="eastAsia" w:ascii="仿宋_GB2312" w:eastAsia="仿宋_GB2312"/>
          <w:sz w:val="31"/>
          <w:szCs w:val="31"/>
        </w:rPr>
        <w:t>加强资金管理</w:t>
      </w:r>
      <w:r>
        <w:rPr>
          <w:rFonts w:hint="eastAsia" w:ascii="仿宋_GB2312" w:eastAsia="仿宋_GB2312"/>
          <w:sz w:val="32"/>
          <w:szCs w:val="32"/>
        </w:rPr>
        <w:t>；二是</w:t>
      </w:r>
      <w:r>
        <w:rPr>
          <w:rFonts w:hint="eastAsia" w:ascii="仿宋_GB2312" w:eastAsia="仿宋_GB2312"/>
          <w:sz w:val="31"/>
          <w:szCs w:val="31"/>
        </w:rPr>
        <w:t>加强支出进度，确保及时支出</w:t>
      </w:r>
      <w:r>
        <w:rPr>
          <w:rFonts w:hint="eastAsia" w:ascii="仿宋_GB2312" w:eastAsia="仿宋_GB2312"/>
          <w:sz w:val="32"/>
          <w:szCs w:val="32"/>
        </w:rPr>
        <w:t>。</w:t>
      </w:r>
    </w:p>
    <w:p>
      <w:pPr>
        <w:numPr>
          <w:ilvl w:val="0"/>
          <w:numId w:val="2"/>
        </w:num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财政评价项目绩效评价结果（无此项安排）。</w:t>
      </w:r>
    </w:p>
    <w:p>
      <w:pPr>
        <w:rPr>
          <w:rFonts w:ascii="楷体" w:hAnsi="楷体" w:eastAsia="楷体" w:cs="楷体"/>
          <w:b/>
          <w:sz w:val="32"/>
          <w:szCs w:val="32"/>
        </w:rPr>
      </w:pPr>
      <w:r>
        <w:rPr>
          <w:rFonts w:hint="eastAsia" w:ascii="楷体" w:hAnsi="楷体" w:eastAsia="楷体" w:cs="楷体"/>
          <w:b/>
          <w:sz w:val="32"/>
          <w:szCs w:val="32"/>
        </w:rPr>
        <w:t xml:space="preserve">    </w:t>
      </w:r>
      <w:r>
        <w:rPr>
          <w:rFonts w:hint="eastAsia" w:ascii="仿宋_GB2312" w:eastAsia="仿宋_GB2312"/>
          <w:sz w:val="32"/>
          <w:szCs w:val="32"/>
          <w:lang w:val="zh-CN"/>
        </w:rPr>
        <w:t>随</w:t>
      </w:r>
      <w:r>
        <w:rPr>
          <w:rFonts w:hint="eastAsia" w:ascii="仿宋_GB2312" w:eastAsia="仿宋_GB2312"/>
          <w:sz w:val="32"/>
          <w:szCs w:val="32"/>
        </w:rPr>
        <w:t>2021年度市本级决算向市人大常委会报告的重点项目绩效评价结果，部门可在上报市人大常委会版本进行适当简化（报告框架可参考《项目支出绩效评价管理办法》（财预〔2020〕10号）中的《项目支出绩效评价报告（参考提纲）》）。</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（四）部门评价项目绩效评价结果。</w:t>
      </w:r>
    </w:p>
    <w:p>
      <w:pPr>
        <w:ind w:firstLine="640" w:firstLineChars="200"/>
        <w:rPr>
          <w:rFonts w:hint="eastAsia" w:ascii="楷体" w:hAnsi="楷体" w:eastAsia="楷体" w:cs="楷体"/>
          <w:b/>
          <w:sz w:val="32"/>
          <w:szCs w:val="32"/>
        </w:rPr>
      </w:pPr>
      <w:r>
        <w:rPr>
          <w:rFonts w:hint="eastAsia" w:ascii="仿宋_GB2312" w:eastAsia="仿宋_GB2312"/>
          <w:sz w:val="32"/>
          <w:szCs w:val="32"/>
          <w:lang w:eastAsia="zh-CN"/>
        </w:rPr>
        <w:t>无</w:t>
      </w:r>
      <w:r>
        <w:rPr>
          <w:rFonts w:hint="eastAsia" w:ascii="仿宋_GB2312" w:eastAsia="仿宋_GB2312"/>
          <w:sz w:val="32"/>
          <w:szCs w:val="32"/>
        </w:rPr>
        <w:t>。</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hint="eastAsia" w:ascii="楷体" w:hAnsi="楷体" w:eastAsia="楷体" w:cs="楷体"/>
          <w:b/>
          <w:sz w:val="32"/>
          <w:szCs w:val="32"/>
        </w:rPr>
      </w:pPr>
      <w:bookmarkStart w:id="97" w:name="_Toc23598_WPSOffice_Level2"/>
      <w:bookmarkStart w:id="98" w:name="_Toc15565_WPSOffice_Level2"/>
      <w:bookmarkStart w:id="99" w:name="_Toc15262_WPSOffice_Level2"/>
      <w:bookmarkStart w:id="100" w:name="_Toc18325_WPSOffice_Level2"/>
      <w:bookmarkStart w:id="101" w:name="_Toc5978_WPSOffice_Level2"/>
      <w:bookmarkStart w:id="102" w:name="_Toc32639_WPSOffice_Level2"/>
      <w:r>
        <w:rPr>
          <w:rFonts w:hint="eastAsia" w:ascii="楷体" w:hAnsi="楷体" w:eastAsia="楷体" w:cs="楷体"/>
          <w:b/>
          <w:sz w:val="32"/>
          <w:szCs w:val="32"/>
        </w:rPr>
        <w:t>（一）机关运行经费支出情况。</w:t>
      </w:r>
      <w:bookmarkEnd w:id="97"/>
      <w:bookmarkEnd w:id="98"/>
      <w:bookmarkEnd w:id="99"/>
      <w:bookmarkEnd w:id="100"/>
      <w:bookmarkEnd w:id="101"/>
      <w:bookmarkEnd w:id="102"/>
      <w:bookmarkStart w:id="121" w:name="_GoBack"/>
      <w:bookmarkEnd w:id="121"/>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海口市社会治安综合治理中心机关运行经费0万元（为单位决算中行政单位和参公事业单位使用一般公共预算财政拨款安排的基本支出中的日常公用经费支出，事业单位没有机关运行经费支出），比年初预算增加0万元，增长0%。主要原因是：事业单位没有机关运行经费支出（具体增减原因由单位根据实际情况填列）。</w:t>
      </w:r>
    </w:p>
    <w:p>
      <w:pPr>
        <w:ind w:firstLine="640" w:firstLineChars="200"/>
        <w:rPr>
          <w:rFonts w:hint="eastAsia" w:ascii="仿宋_GB2312" w:hAnsi="ˎ̥" w:eastAsia="仿宋_GB2312"/>
          <w:sz w:val="32"/>
          <w:szCs w:val="32"/>
        </w:rPr>
      </w:pPr>
      <w:bookmarkStart w:id="103" w:name="_Toc25333_WPSOffice_Level2"/>
      <w:bookmarkStart w:id="104" w:name="_Toc30383_WPSOffice_Level2"/>
      <w:bookmarkStart w:id="105" w:name="_Toc3131_WPSOffice_Level2"/>
      <w:bookmarkStart w:id="106" w:name="_Toc32689_WPSOffice_Level2"/>
      <w:bookmarkStart w:id="107" w:name="_Toc13084_WPSOffice_Level2"/>
      <w:bookmarkStart w:id="108" w:name="_Toc23966_WPSOffice_Level2"/>
      <w:r>
        <w:rPr>
          <w:rFonts w:hint="eastAsia" w:ascii="仿宋_GB2312" w:hAnsi="ˎ̥" w:eastAsia="仿宋_GB2312"/>
          <w:sz w:val="32"/>
          <w:szCs w:val="32"/>
        </w:rPr>
        <w:t>（机关运行经费预算数字可取自单位决算报表财决01-1表《财政拨款收入支出决算总表》，年初预算数-一般公共预算财政拨款-公用（如有则公开）经费，注意单位汇总公开决算时，因事业单位没有机关运行经费支出，故单位汇总的机关运行经费预算数应为部门所属的各行政单位或参公单位的汇总数；决算数字可取自2021年度单位决算报表F03表《机构运行信息表》“机关运行经费”栏。）</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（二）政府采购支出情况。</w:t>
      </w:r>
      <w:bookmarkEnd w:id="103"/>
      <w:bookmarkEnd w:id="104"/>
      <w:bookmarkEnd w:id="105"/>
      <w:bookmarkEnd w:id="106"/>
      <w:bookmarkEnd w:id="107"/>
      <w:bookmarkEnd w:id="108"/>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海口市社会治安综合治理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（上述政府采购支（如有则公开）出相关数字取自2021年度单位决算报表F03表《机构运行信息表》，授予中小企业和小微企业合同金额由各部门查阅本部门相关资料填写。）</w:t>
      </w:r>
    </w:p>
    <w:p>
      <w:pPr>
        <w:ind w:firstLine="643" w:firstLineChars="200"/>
        <w:rPr>
          <w:rFonts w:hint="eastAsia" w:ascii="楷体" w:hAnsi="楷体" w:eastAsia="楷体" w:cs="楷体"/>
          <w:b/>
          <w:sz w:val="32"/>
          <w:szCs w:val="32"/>
        </w:rPr>
      </w:pPr>
      <w:bookmarkStart w:id="109" w:name="_Toc6016_WPSOffice_Level2"/>
      <w:bookmarkStart w:id="110" w:name="_Toc10902_WPSOffice_Level2"/>
      <w:bookmarkStart w:id="111" w:name="_Toc527_WPSOffice_Level2"/>
      <w:bookmarkStart w:id="112" w:name="_Toc19989_WPSOffice_Level2"/>
      <w:bookmarkStart w:id="113" w:name="_Toc29584_WPSOffice_Level2"/>
      <w:bookmarkStart w:id="114" w:name="_Toc15129_WPSOffice_Level2"/>
      <w:r>
        <w:rPr>
          <w:rFonts w:hint="eastAsia" w:ascii="楷体" w:hAnsi="楷体" w:eastAsia="楷体" w:cs="楷体"/>
          <w:b/>
          <w:sz w:val="32"/>
          <w:szCs w:val="32"/>
        </w:rPr>
        <w:t>（三）国有资产占用情况。</w:t>
      </w:r>
      <w:bookmarkEnd w:id="109"/>
      <w:bookmarkEnd w:id="110"/>
      <w:bookmarkEnd w:id="111"/>
      <w:bookmarkEnd w:id="112"/>
      <w:bookmarkEnd w:id="113"/>
      <w:bookmarkEnd w:id="114"/>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截至2021年12月31日，本单位占用房屋面积0平方米，其中：办公用房0平方米，业务用房0平方米，其他（不含构筑物）0平方米。</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本部门共有车辆0辆，其中：从车辆种类说明：轿车0辆、越野车0辆、小型载客汽车0辆、大中型载客汽车辆、其他车型0辆；从车辆使用情况说明：副部（省）级及以上领导用车0辆、主要领导干部用车0辆、机要通信用车0辆、应急保障用车0辆、执法执勤用车0辆、特（如有则公开）种专业技术用车0辆、离退休干部用车0辆、其他用车0辆。</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单位价值50万元（含）以上通用设备0台（套），单价100万元（含）以上专用设备0台（套）。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年末在建工程0万元。</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（上述国有资产占用情况相关数字取自2021年度单位决算F01表《预算支出相关信息表》、F03表《机关运行信息表》。）</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（如有则公开）</w:t>
      </w:r>
    </w:p>
    <w:p>
      <w:pPr>
        <w:jc w:val="center"/>
        <w:rPr>
          <w:rFonts w:hint="eastAsia" w:ascii="黑体" w:hAnsi="ˎ̥" w:eastAsia="黑体"/>
          <w:sz w:val="32"/>
          <w:szCs w:val="32"/>
        </w:rPr>
      </w:pPr>
      <w:bookmarkStart w:id="115" w:name="_Toc4398_WPSOffice_Level1"/>
      <w:bookmarkStart w:id="116" w:name="_Toc8874_WPSOffice_Level1"/>
      <w:bookmarkStart w:id="117" w:name="_Toc15425_WPSOffice_Level1"/>
      <w:bookmarkStart w:id="118" w:name="_Toc8808_WPSOffice_Level1"/>
      <w:bookmarkStart w:id="119" w:name="_Toc11039_WPSOffice_Level1"/>
      <w:bookmarkStart w:id="120" w:name="_Toc17580_WPSOffice_Level1"/>
    </w:p>
    <w:p>
      <w:pPr>
        <w:jc w:val="center"/>
        <w:rPr>
          <w:rFonts w:hint="eastAsia" w:ascii="黑体" w:hAnsi="ˎ̥" w:eastAsia="黑体"/>
          <w:sz w:val="32"/>
          <w:szCs w:val="32"/>
        </w:rPr>
      </w:pPr>
      <w:r>
        <w:rPr>
          <w:rFonts w:hint="eastAsia" w:ascii="黑体" w:hAnsi="ˎ̥" w:eastAsia="黑体"/>
          <w:sz w:val="32"/>
          <w:szCs w:val="32"/>
        </w:rPr>
        <w:t>第四部分  名词解释</w:t>
      </w:r>
      <w:bookmarkEnd w:id="115"/>
      <w:bookmarkEnd w:id="116"/>
      <w:bookmarkEnd w:id="117"/>
      <w:bookmarkEnd w:id="118"/>
      <w:bookmarkEnd w:id="119"/>
      <w:bookmarkEnd w:id="120"/>
    </w:p>
    <w:p>
      <w:pPr>
        <w:jc w:val="center"/>
        <w:rPr>
          <w:rFonts w:hint="eastAsia" w:ascii="黑体" w:hAnsi="ˎ̥" w:eastAsia="黑体"/>
          <w:sz w:val="32"/>
          <w:szCs w:val="32"/>
        </w:rPr>
      </w:pPr>
    </w:p>
    <w:p>
      <w:pPr>
        <w:numPr>
          <w:ilvl w:val="0"/>
          <w:numId w:val="3"/>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财政拨款收入：指同级政府财政部门当年拨付的各类财政拨款。</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六、其他收入：指除上述“财政拨款收入”“事业收入”“上级补助收入”“经营收入”“附属单位上缴收入”等以外的收入。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九、结余分配：指事业单位缴纳企业所得税以及从非财政拨款结余或经营结余中提取各类结余的情况。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十、年末结转和结余：指本年度或以前年度预算安排、因客观条件发生变化无法按原计划实施，需要延迟到以后年度按有关规定继续使用的资金（不包括事业单位非财政拨款结余和专用结余）。</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十三、经营支出：指事业单位在专业业务活动及其辅助活动之外开展非独立核算经营活动发生的支出。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四、“三公”经费：纳入本级财政预决算管理的“三公”经费，是指用一般公共预算财政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ind w:firstLine="645"/>
        <w:rPr>
          <w:rFonts w:hint="eastAsia" w:ascii="仿宋_GB2312" w:hAnsi="ˎ̥" w:eastAsia="仿宋_GB2312"/>
          <w:sz w:val="32"/>
          <w:szCs w:val="32"/>
        </w:rPr>
      </w:pPr>
      <w:r>
        <w:rPr>
          <w:rFonts w:hint="eastAsia" w:ascii="仿宋_GB2312" w:hAnsi="ˎ̥" w:eastAsia="仿宋_GB2312"/>
          <w:sz w:val="32"/>
          <w:szCs w:val="32"/>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ind w:firstLine="645"/>
        <w:rPr>
          <w:rFonts w:hint="eastAsia" w:ascii="仿宋_GB2312" w:hAnsi="ˎ̥" w:eastAsia="仿宋_GB2312"/>
          <w:sz w:val="32"/>
          <w:szCs w:val="32"/>
        </w:rPr>
      </w:pPr>
      <w:r>
        <w:rPr>
          <w:rFonts w:hint="eastAsia" w:ascii="仿宋_GB2312" w:hAnsi="ˎ̥" w:eastAsia="仿宋_GB2312"/>
          <w:sz w:val="32"/>
          <w:szCs w:val="32"/>
        </w:rPr>
        <w:t>（支出功能分类的名词解释，各部门（单位）根据实际支出情况填列，可参阅财政部印发的《2021年政府收支分类科目》）</w:t>
      </w:r>
    </w:p>
    <w:p>
      <w:pPr>
        <w:rPr>
          <w:rFonts w:hint="eastAsia" w:ascii="仿宋_GB2312" w:hAnsi="ˎ̥" w:eastAsia="仿宋_GB2312"/>
          <w:sz w:val="32"/>
          <w:szCs w:val="32"/>
        </w:rPr>
      </w:pPr>
      <w:r>
        <w:rPr>
          <w:rFonts w:hint="eastAsia" w:ascii="仿宋_GB2312" w:hAnsi="ˎ̥" w:eastAsia="仿宋_GB2312"/>
          <w:sz w:val="32"/>
          <w:szCs w:val="32"/>
        </w:rPr>
        <w:t>……</w:t>
      </w:r>
    </w:p>
    <w:p>
      <w:pPr>
        <w:rPr>
          <w:rFonts w:hint="eastAsia" w:ascii="仿宋_GB2312" w:hAnsi="ˎ̥" w:eastAsia="仿宋_GB2312"/>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ˎ̥">
    <w:altName w:val="Noto Sans CJK HK"/>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abstractNum w:abstractNumId="2">
    <w:nsid w:val="77EFB790"/>
    <w:multiLevelType w:val="singleLevel"/>
    <w:tmpl w:val="77EFB790"/>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05C35"/>
    <w:rsid w:val="0042086A"/>
    <w:rsid w:val="0043798F"/>
    <w:rsid w:val="007A683B"/>
    <w:rsid w:val="00AE288A"/>
    <w:rsid w:val="00B504B4"/>
    <w:rsid w:val="00E56B8B"/>
    <w:rsid w:val="07BC27CF"/>
    <w:rsid w:val="086D5108"/>
    <w:rsid w:val="09573962"/>
    <w:rsid w:val="09793B17"/>
    <w:rsid w:val="09942142"/>
    <w:rsid w:val="09957BC4"/>
    <w:rsid w:val="0B954742"/>
    <w:rsid w:val="0DF065CB"/>
    <w:rsid w:val="0FE07C99"/>
    <w:rsid w:val="14C0309A"/>
    <w:rsid w:val="167DCB8C"/>
    <w:rsid w:val="1ABE55EE"/>
    <w:rsid w:val="1BC16115"/>
    <w:rsid w:val="1CE164C1"/>
    <w:rsid w:val="1D5D23CF"/>
    <w:rsid w:val="20780352"/>
    <w:rsid w:val="22AC15DF"/>
    <w:rsid w:val="235C69FF"/>
    <w:rsid w:val="23670883"/>
    <w:rsid w:val="273D63BB"/>
    <w:rsid w:val="277549C7"/>
    <w:rsid w:val="285A17C2"/>
    <w:rsid w:val="28A450B9"/>
    <w:rsid w:val="2B1B6DC7"/>
    <w:rsid w:val="2D54576D"/>
    <w:rsid w:val="2FDF8CB3"/>
    <w:rsid w:val="339C35B9"/>
    <w:rsid w:val="350D15D2"/>
    <w:rsid w:val="37A96661"/>
    <w:rsid w:val="390C3FD7"/>
    <w:rsid w:val="3EF94CDF"/>
    <w:rsid w:val="48973EA7"/>
    <w:rsid w:val="49CA27F1"/>
    <w:rsid w:val="4A7C4FC1"/>
    <w:rsid w:val="4E62297B"/>
    <w:rsid w:val="52906C00"/>
    <w:rsid w:val="52AC1DB3"/>
    <w:rsid w:val="585B238F"/>
    <w:rsid w:val="5A074243"/>
    <w:rsid w:val="5DDEF3BC"/>
    <w:rsid w:val="5E9426B6"/>
    <w:rsid w:val="5F7EF0CD"/>
    <w:rsid w:val="5F8F262B"/>
    <w:rsid w:val="60661CB4"/>
    <w:rsid w:val="60C77918"/>
    <w:rsid w:val="615B6DA1"/>
    <w:rsid w:val="637F5749"/>
    <w:rsid w:val="63C11A36"/>
    <w:rsid w:val="654796D3"/>
    <w:rsid w:val="660C3071"/>
    <w:rsid w:val="66EB31E7"/>
    <w:rsid w:val="69C17975"/>
    <w:rsid w:val="6CEE5A98"/>
    <w:rsid w:val="70784693"/>
    <w:rsid w:val="711E3F19"/>
    <w:rsid w:val="737DDC9E"/>
    <w:rsid w:val="741673A5"/>
    <w:rsid w:val="75A51D92"/>
    <w:rsid w:val="76275AAA"/>
    <w:rsid w:val="768A5887"/>
    <w:rsid w:val="78BB48A3"/>
    <w:rsid w:val="79003D12"/>
    <w:rsid w:val="7BD44AB5"/>
    <w:rsid w:val="7C770257"/>
    <w:rsid w:val="7E7F7F16"/>
    <w:rsid w:val="7F7B58EC"/>
    <w:rsid w:val="7FFF672A"/>
    <w:rsid w:val="BFFF3568"/>
    <w:rsid w:val="DB5F2A36"/>
    <w:rsid w:val="DBF383B7"/>
    <w:rsid w:val="DFFE15EC"/>
    <w:rsid w:val="EDBDB411"/>
    <w:rsid w:val="EF36BFEE"/>
    <w:rsid w:val="F5FF8929"/>
    <w:rsid w:val="FBF91D78"/>
    <w:rsid w:val="FCDF0A08"/>
    <w:rsid w:val="FFB2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semiHidden/>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1 Char Char Char"/>
    <w:basedOn w:val="1"/>
    <w:link w:val="6"/>
    <w:qFormat/>
    <w:uiPriority w:val="0"/>
    <w:pPr>
      <w:spacing w:line="360" w:lineRule="auto"/>
      <w:ind w:firstLine="200" w:firstLineChars="200"/>
    </w:pPr>
  </w:style>
  <w:style w:type="character" w:styleId="8">
    <w:name w:val="page number"/>
    <w:basedOn w:val="6"/>
    <w:qFormat/>
    <w:uiPriority w:val="0"/>
  </w:style>
  <w:style w:type="character" w:styleId="9">
    <w:name w:val="FollowedHyperlink"/>
    <w:basedOn w:val="6"/>
    <w:unhideWhenUsed/>
    <w:qFormat/>
    <w:uiPriority w:val="99"/>
    <w:rPr>
      <w:color w:val="800080"/>
      <w:u w:val="single"/>
    </w:rPr>
  </w:style>
  <w:style w:type="paragraph" w:customStyle="1" w:styleId="10">
    <w:name w:val="WPSOffice手动目录 1"/>
    <w:qFormat/>
    <w:uiPriority w:val="0"/>
    <w:rPr>
      <w:rFonts w:ascii="Times New Roman" w:hAnsi="Times New Roman" w:eastAsia="宋体" w:cs="Times New Roman"/>
      <w:lang w:val="en-US" w:eastAsia="zh-CN" w:bidi="ar-SA"/>
    </w:rPr>
  </w:style>
  <w:style w:type="paragraph" w:customStyle="1" w:styleId="11">
    <w:name w:val="WPSOffice手动目录 2"/>
    <w:qFormat/>
    <w:uiPriority w:val="0"/>
    <w:pPr>
      <w:ind w:leftChars="200"/>
    </w:pPr>
    <w:rPr>
      <w:rFonts w:ascii="Times New Roman" w:hAnsi="Times New Roman" w:eastAsia="宋体" w:cs="Times New Roman"/>
      <w:lang w:val="en-US" w:eastAsia="zh-CN" w:bidi="ar-SA"/>
    </w:rPr>
  </w:style>
  <w:style w:type="paragraph" w:customStyle="1" w:styleId="12">
    <w:name w:val="p0"/>
    <w:basedOn w:val="1"/>
    <w:qFormat/>
    <w:uiPriority w:val="0"/>
    <w:pPr>
      <w:widowControl/>
    </w:pPr>
    <w:rPr>
      <w:rFonts w:hAnsi="宋体" w:cs="宋体"/>
      <w:kern w:val="0"/>
      <w:szCs w:val="32"/>
    </w:rPr>
  </w:style>
  <w:style w:type="character" w:customStyle="1" w:styleId="13">
    <w:name w:val="页眉 Char"/>
    <w:basedOn w:val="6"/>
    <w:link w:val="4"/>
    <w:semiHidden/>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1511</Words>
  <Characters>8616</Characters>
  <Lines>71</Lines>
  <Paragraphs>20</Paragraphs>
  <TotalTime>16</TotalTime>
  <ScaleCrop>false</ScaleCrop>
  <LinksUpToDate>false</LinksUpToDate>
  <CharactersWithSpaces>10107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2022-10-17T15:36:00Z</dcterms:created>
  <dc:creator>陈斌</dc:creator>
  <cp:lastModifiedBy>lenovo</cp:lastModifiedBy>
  <cp:lastPrinted>2016-08-06T23:05:00Z</cp:lastPrinted>
  <dcterms:modified xsi:type="dcterms:W3CDTF">2023-07-20T10:48:37Z</dcterms:modified>
  <dc:title>XXXX部门2013年度部门决算（参考模板）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